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80995" w14:textId="77777777" w:rsidR="00934F68" w:rsidRDefault="00934F68">
      <w:pPr>
        <w:rPr>
          <w:rFonts w:ascii="Times" w:eastAsia="Times New Roman" w:hAnsi="Times" w:cs="Times New Roman"/>
          <w:color w:val="auto"/>
          <w:sz w:val="20"/>
          <w:szCs w:val="20"/>
        </w:rPr>
      </w:pPr>
    </w:p>
    <w:p w14:paraId="545481BA" w14:textId="77777777" w:rsidR="00934F68" w:rsidRDefault="00934F68">
      <w:pPr>
        <w:rPr>
          <w:rFonts w:ascii="Times" w:eastAsia="Times New Roman" w:hAnsi="Times" w:cs="Times New Roman"/>
          <w:color w:val="auto"/>
          <w:sz w:val="20"/>
          <w:szCs w:val="20"/>
        </w:rPr>
      </w:pPr>
      <w:r>
        <w:rPr>
          <w:rFonts w:eastAsia="Times New Roman" w:cs="Times New Roman"/>
          <w:noProof/>
        </w:rPr>
        <w:drawing>
          <wp:inline distT="0" distB="0" distL="0" distR="0" wp14:anchorId="44E5141F" wp14:editId="2341C55A">
            <wp:extent cx="8128000" cy="2540000"/>
            <wp:effectExtent l="0" t="0" r="0" b="0"/>
            <wp:docPr id="1" name="Picture 1" descr="http://www.congressweb.com/AASCU/Email_Templates/FederalAdvisories/FederalAdvis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sweb.com/AASCU/Email_Templates/FederalAdvisories/FederalAdvisori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0" cy="2540000"/>
                    </a:xfrm>
                    <a:prstGeom prst="rect">
                      <a:avLst/>
                    </a:prstGeom>
                    <a:noFill/>
                    <a:ln>
                      <a:noFill/>
                    </a:ln>
                  </pic:spPr>
                </pic:pic>
              </a:graphicData>
            </a:graphic>
          </wp:inline>
        </w:drawing>
      </w:r>
      <w:bookmarkStart w:id="0" w:name="_GoBack"/>
      <w:bookmarkEnd w:id="0"/>
    </w:p>
    <w:p w14:paraId="4901AC4A" w14:textId="77777777" w:rsidR="00934F68" w:rsidRDefault="00934F68">
      <w:pPr>
        <w:rPr>
          <w:rFonts w:ascii="Times" w:eastAsia="Times New Roman" w:hAnsi="Times" w:cs="Times New Roman"/>
          <w:color w:val="auto"/>
          <w:sz w:val="20"/>
          <w:szCs w:val="20"/>
        </w:rPr>
      </w:pPr>
    </w:p>
    <w:p w14:paraId="603B660D" w14:textId="77777777" w:rsidR="00934F68" w:rsidRDefault="00934F68">
      <w:pPr>
        <w:rPr>
          <w:rFonts w:ascii="Times" w:eastAsia="Times New Roman" w:hAnsi="Times" w:cs="Times New Roman"/>
          <w:color w:val="auto"/>
          <w:sz w:val="20"/>
          <w:szCs w:val="20"/>
        </w:rPr>
      </w:pPr>
    </w:p>
    <w:p w14:paraId="61C6F263" w14:textId="77777777" w:rsidR="00934F68" w:rsidRDefault="00934F68">
      <w:pPr>
        <w:rPr>
          <w:rFonts w:ascii="Times" w:eastAsia="Times New Roman" w:hAnsi="Times" w:cs="Times New Roman"/>
          <w:color w:val="auto"/>
          <w:sz w:val="20"/>
          <w:szCs w:val="20"/>
        </w:rPr>
      </w:pPr>
    </w:p>
    <w:p w14:paraId="284DAEDC" w14:textId="77777777" w:rsidR="00934F68" w:rsidRDefault="00934F68">
      <w:pPr>
        <w:rPr>
          <w:rFonts w:ascii="Times" w:eastAsia="Times New Roman" w:hAnsi="Times" w:cs="Times New Roman"/>
          <w:color w:val="auto"/>
          <w:sz w:val="20"/>
          <w:szCs w:val="20"/>
        </w:rPr>
      </w:pPr>
    </w:p>
    <w:p w14:paraId="473A012B" w14:textId="77777777" w:rsidR="00934F68" w:rsidRDefault="00934F68">
      <w:pPr>
        <w:rPr>
          <w:rFonts w:ascii="Times" w:eastAsia="Times New Roman" w:hAnsi="Times" w:cs="Times New Roman"/>
          <w:color w:val="auto"/>
          <w:sz w:val="20"/>
          <w:szCs w:val="20"/>
        </w:rPr>
      </w:pPr>
    </w:p>
    <w:p w14:paraId="174BA0E5" w14:textId="77777777" w:rsidR="00D04DB4" w:rsidRDefault="003F44E5">
      <w:r w:rsidRPr="0050527B">
        <w:rPr>
          <w:rFonts w:ascii="Times" w:eastAsia="Times New Roman" w:hAnsi="Times" w:cs="Times New Roman"/>
          <w:color w:val="auto"/>
          <w:sz w:val="20"/>
          <w:szCs w:val="20"/>
        </w:rPr>
        <w:br/>
      </w:r>
      <w:r w:rsidRPr="0050527B">
        <w:rPr>
          <w:rFonts w:ascii="Arial" w:eastAsia="Times New Roman" w:hAnsi="Arial"/>
          <w:color w:val="auto"/>
          <w:sz w:val="20"/>
          <w:szCs w:val="20"/>
        </w:rPr>
        <w:t>To:       AASCU Presidents, Chancellors and Government Relations staff</w:t>
      </w:r>
      <w:r w:rsidRPr="0050527B">
        <w:rPr>
          <w:rFonts w:ascii="Arial" w:eastAsia="Times New Roman" w:hAnsi="Arial"/>
          <w:color w:val="auto"/>
          <w:sz w:val="20"/>
          <w:szCs w:val="20"/>
        </w:rPr>
        <w:br/>
      </w:r>
      <w:r w:rsidRPr="0050527B">
        <w:rPr>
          <w:rFonts w:ascii="Arial" w:eastAsia="Times New Roman" w:hAnsi="Arial"/>
          <w:color w:val="auto"/>
          <w:sz w:val="20"/>
          <w:szCs w:val="20"/>
        </w:rPr>
        <w:br/>
      </w:r>
      <w:r w:rsidRPr="0050527B">
        <w:rPr>
          <w:rFonts w:ascii="Arial" w:eastAsia="Times New Roman" w:hAnsi="Arial"/>
          <w:color w:val="auto"/>
          <w:sz w:val="20"/>
          <w:szCs w:val="20"/>
        </w:rPr>
        <w:br/>
        <w:t>From</w:t>
      </w:r>
      <w:proofErr w:type="gramStart"/>
      <w:r w:rsidRPr="0050527B">
        <w:rPr>
          <w:rFonts w:ascii="Arial" w:eastAsia="Times New Roman" w:hAnsi="Arial"/>
          <w:color w:val="auto"/>
          <w:sz w:val="20"/>
          <w:szCs w:val="20"/>
        </w:rPr>
        <w:t>:   Ed</w:t>
      </w:r>
      <w:proofErr w:type="gramEnd"/>
      <w:r w:rsidRPr="0050527B">
        <w:rPr>
          <w:rFonts w:ascii="Arial" w:eastAsia="Times New Roman" w:hAnsi="Arial"/>
          <w:color w:val="auto"/>
          <w:sz w:val="20"/>
          <w:szCs w:val="20"/>
        </w:rPr>
        <w:t xml:space="preserve"> Elmendorf, Senior Vice President of Government Relations and Policy Analysis</w:t>
      </w:r>
      <w:r w:rsidRPr="0050527B">
        <w:rPr>
          <w:rFonts w:ascii="Arial" w:eastAsia="Times New Roman" w:hAnsi="Arial"/>
          <w:color w:val="auto"/>
          <w:sz w:val="20"/>
          <w:szCs w:val="20"/>
        </w:rPr>
        <w:br/>
        <w:t xml:space="preserve">            </w:t>
      </w:r>
      <w:proofErr w:type="spellStart"/>
      <w:r w:rsidRPr="0050527B">
        <w:rPr>
          <w:rFonts w:ascii="Arial" w:eastAsia="Times New Roman" w:hAnsi="Arial"/>
          <w:color w:val="auto"/>
          <w:sz w:val="20"/>
          <w:szCs w:val="20"/>
        </w:rPr>
        <w:t>Makese</w:t>
      </w:r>
      <w:proofErr w:type="spellEnd"/>
      <w:r w:rsidRPr="0050527B">
        <w:rPr>
          <w:rFonts w:ascii="Arial" w:eastAsia="Times New Roman" w:hAnsi="Arial"/>
          <w:color w:val="auto"/>
          <w:sz w:val="20"/>
          <w:szCs w:val="20"/>
        </w:rPr>
        <w:t xml:space="preserve"> Motley, Assistant Director of Federal Relations and Policy Analysis</w:t>
      </w:r>
      <w:r w:rsidRPr="0050527B">
        <w:rPr>
          <w:rFonts w:ascii="Arial" w:eastAsia="Times New Roman" w:hAnsi="Arial"/>
          <w:color w:val="auto"/>
          <w:sz w:val="20"/>
          <w:szCs w:val="20"/>
        </w:rPr>
        <w:br/>
        <w:t xml:space="preserve">            </w:t>
      </w:r>
      <w:proofErr w:type="spellStart"/>
      <w:r w:rsidRPr="0050527B">
        <w:rPr>
          <w:rFonts w:ascii="Arial" w:eastAsia="Times New Roman" w:hAnsi="Arial"/>
          <w:color w:val="auto"/>
          <w:sz w:val="20"/>
          <w:szCs w:val="20"/>
        </w:rPr>
        <w:t>Barmak</w:t>
      </w:r>
      <w:proofErr w:type="spellEnd"/>
      <w:r w:rsidRPr="0050527B">
        <w:rPr>
          <w:rFonts w:ascii="Arial" w:eastAsia="Times New Roman" w:hAnsi="Arial"/>
          <w:color w:val="auto"/>
          <w:sz w:val="20"/>
          <w:szCs w:val="20"/>
        </w:rPr>
        <w:t xml:space="preserve"> </w:t>
      </w:r>
      <w:proofErr w:type="spellStart"/>
      <w:r w:rsidRPr="0050527B">
        <w:rPr>
          <w:rFonts w:ascii="Arial" w:eastAsia="Times New Roman" w:hAnsi="Arial"/>
          <w:color w:val="auto"/>
          <w:sz w:val="20"/>
          <w:szCs w:val="20"/>
        </w:rPr>
        <w:t>Nassirian</w:t>
      </w:r>
      <w:proofErr w:type="spellEnd"/>
      <w:r w:rsidRPr="0050527B">
        <w:rPr>
          <w:rFonts w:ascii="Arial" w:eastAsia="Times New Roman" w:hAnsi="Arial"/>
          <w:color w:val="auto"/>
          <w:sz w:val="20"/>
          <w:szCs w:val="20"/>
        </w:rPr>
        <w:t>, Director of Fe</w:t>
      </w:r>
      <w:r>
        <w:rPr>
          <w:rFonts w:ascii="Arial" w:eastAsia="Times New Roman" w:hAnsi="Arial"/>
          <w:color w:val="auto"/>
          <w:sz w:val="20"/>
          <w:szCs w:val="20"/>
        </w:rPr>
        <w:t>deral Policy Analysis</w:t>
      </w:r>
      <w:r>
        <w:rPr>
          <w:rFonts w:ascii="Arial" w:eastAsia="Times New Roman" w:hAnsi="Arial"/>
          <w:color w:val="auto"/>
          <w:sz w:val="20"/>
          <w:szCs w:val="20"/>
        </w:rPr>
        <w:br/>
        <w:t>Re:      </w:t>
      </w:r>
      <w:r w:rsidRPr="0050527B">
        <w:rPr>
          <w:rFonts w:ascii="Arial" w:eastAsia="Times New Roman" w:hAnsi="Arial"/>
          <w:color w:val="auto"/>
          <w:sz w:val="20"/>
          <w:szCs w:val="20"/>
        </w:rPr>
        <w:t>Federal Update</w:t>
      </w:r>
      <w:r w:rsidRPr="0050527B">
        <w:rPr>
          <w:rFonts w:ascii="Arial" w:eastAsia="Times New Roman" w:hAnsi="Arial"/>
          <w:color w:val="auto"/>
          <w:sz w:val="20"/>
          <w:szCs w:val="20"/>
        </w:rPr>
        <w:br/>
        <w:t>Date:    7/19/2013</w:t>
      </w:r>
      <w:r w:rsidRPr="0050527B">
        <w:rPr>
          <w:rFonts w:ascii="Times" w:eastAsia="Times New Roman" w:hAnsi="Times" w:cs="Times New Roman"/>
          <w:color w:val="auto"/>
          <w:sz w:val="20"/>
          <w:szCs w:val="20"/>
        </w:rPr>
        <w:br/>
      </w:r>
      <w:r w:rsidRPr="0050527B">
        <w:rPr>
          <w:rFonts w:ascii="Times" w:eastAsia="Times New Roman" w:hAnsi="Times" w:cs="Times New Roman"/>
          <w:color w:val="auto"/>
          <w:sz w:val="20"/>
          <w:szCs w:val="20"/>
        </w:rPr>
        <w:br/>
      </w:r>
      <w:r w:rsidRPr="0050527B">
        <w:rPr>
          <w:rFonts w:ascii="Times" w:eastAsia="Times New Roman" w:hAnsi="Times" w:cs="Times New Roman"/>
          <w:color w:val="auto"/>
          <w:sz w:val="20"/>
          <w:szCs w:val="20"/>
        </w:rPr>
        <w:br/>
      </w:r>
      <w:r w:rsidRPr="0050527B">
        <w:rPr>
          <w:rFonts w:ascii="Arial" w:eastAsia="Times New Roman" w:hAnsi="Arial"/>
          <w:b/>
          <w:bCs/>
          <w:color w:val="auto"/>
          <w:sz w:val="20"/>
          <w:szCs w:val="20"/>
          <w:u w:val="single"/>
        </w:rPr>
        <w:t>Student Loan Interest Rate</w:t>
      </w:r>
      <w:r w:rsidRPr="0050527B">
        <w:rPr>
          <w:rFonts w:ascii="Times" w:eastAsia="Times New Roman" w:hAnsi="Times" w:cs="Times New Roman"/>
          <w:color w:val="auto"/>
          <w:sz w:val="20"/>
          <w:szCs w:val="20"/>
        </w:rPr>
        <w:br/>
      </w:r>
      <w:r w:rsidRPr="0050527B">
        <w:rPr>
          <w:rFonts w:ascii="Arial" w:eastAsia="Times New Roman" w:hAnsi="Arial"/>
          <w:color w:val="auto"/>
          <w:sz w:val="20"/>
          <w:szCs w:val="20"/>
        </w:rPr>
        <w:t> </w:t>
      </w:r>
      <w:r w:rsidRPr="0050527B">
        <w:rPr>
          <w:rFonts w:ascii="Arial" w:eastAsia="Times New Roman" w:hAnsi="Arial"/>
          <w:color w:val="auto"/>
          <w:sz w:val="20"/>
          <w:szCs w:val="20"/>
        </w:rPr>
        <w:br/>
        <w:t xml:space="preserve">Yesterday, a bipartisan group of Senators, with backing from the Obama administration, agreed on a compromise that would change the interest rates on federal student loans. Senators Lamar Alexander (R-TN), Tom Harkin (D-IA), Dick Durbin (D-IL), Tom Carper (D-DE), Angus King (I-ME), Richard Burr (R-NC), and Tom Coburn (R-OK) introduced the Student Loan Certainty Act (S.1334). The bill would tie interest rates on student loans to the yield on the 10-year Treasury </w:t>
      </w:r>
      <w:proofErr w:type="gramStart"/>
      <w:r w:rsidRPr="0050527B">
        <w:rPr>
          <w:rFonts w:ascii="Arial" w:eastAsia="Times New Roman" w:hAnsi="Arial"/>
          <w:color w:val="auto"/>
          <w:sz w:val="20"/>
          <w:szCs w:val="20"/>
        </w:rPr>
        <w:t>Note</w:t>
      </w:r>
      <w:proofErr w:type="gramEnd"/>
      <w:r w:rsidRPr="0050527B">
        <w:rPr>
          <w:rFonts w:ascii="Arial" w:eastAsia="Times New Roman" w:hAnsi="Arial"/>
          <w:color w:val="auto"/>
          <w:sz w:val="20"/>
          <w:szCs w:val="20"/>
        </w:rPr>
        <w:t xml:space="preserve"> plus 2.05% for both the subsidized and unsubsidized undergraduate Stafford loans. For graduate loans, the add-on margin would be 3.6% and for PLUS loans, the margin would be 4.60% above the 10-year Treasury yield. Loans would be capped at 8.5% for undergraduate loans, 9.5 percent for graduate loans and 10.5% for PLUS loans.</w:t>
      </w:r>
      <w:r w:rsidRPr="0050527B">
        <w:rPr>
          <w:rFonts w:ascii="Arial" w:eastAsia="Times New Roman" w:hAnsi="Arial"/>
          <w:color w:val="auto"/>
          <w:sz w:val="20"/>
          <w:szCs w:val="20"/>
        </w:rPr>
        <w:br/>
        <w:t> </w:t>
      </w:r>
      <w:r w:rsidRPr="0050527B">
        <w:rPr>
          <w:rFonts w:ascii="Arial" w:eastAsia="Times New Roman" w:hAnsi="Arial"/>
          <w:color w:val="auto"/>
          <w:sz w:val="20"/>
          <w:szCs w:val="20"/>
        </w:rPr>
        <w:br/>
        <w:t>While a number of higher education associations have endorsed the bill, AASCU and student and consumer groups do not support this bill for several reasons. First, while the bill would lower rates in the short term, it would quickly raise them above the current 6.8%, starting as early as four years from now.  Over the slightly long term, the rates could reach as high at 8.25% for students. Second, the bill would raise rates considerably for graduate students and parents. Finally, the bill lowers the deficit through the life of legislation, by extracting more money from students via higher interest rates.</w:t>
      </w:r>
      <w:r w:rsidRPr="0050527B">
        <w:rPr>
          <w:rFonts w:ascii="Arial" w:eastAsia="Times New Roman" w:hAnsi="Arial"/>
          <w:color w:val="auto"/>
          <w:sz w:val="20"/>
          <w:szCs w:val="20"/>
        </w:rPr>
        <w:br/>
        <w:t> </w:t>
      </w:r>
      <w:r w:rsidRPr="0050527B">
        <w:rPr>
          <w:rFonts w:ascii="Arial" w:eastAsia="Times New Roman" w:hAnsi="Arial"/>
          <w:color w:val="auto"/>
          <w:sz w:val="20"/>
          <w:szCs w:val="20"/>
        </w:rPr>
        <w:br/>
      </w:r>
      <w:r w:rsidRPr="0050527B">
        <w:rPr>
          <w:rFonts w:ascii="Arial" w:eastAsia="Times New Roman" w:hAnsi="Arial"/>
          <w:color w:val="auto"/>
          <w:sz w:val="20"/>
          <w:szCs w:val="20"/>
        </w:rPr>
        <w:lastRenderedPageBreak/>
        <w:t>The Senate is expected to vote on this bill on Tuesday. It is unclear when the House will vote on a bill, but it is widely believed that it would adopt the Senate bill upon the latter’s passage.</w:t>
      </w:r>
      <w:r w:rsidRPr="0050527B">
        <w:rPr>
          <w:rFonts w:ascii="Times" w:eastAsia="Times New Roman" w:hAnsi="Times" w:cs="Times New Roman"/>
          <w:color w:val="auto"/>
          <w:sz w:val="20"/>
          <w:szCs w:val="20"/>
        </w:rPr>
        <w:br/>
      </w:r>
    </w:p>
    <w:tbl>
      <w:tblPr>
        <w:tblW w:w="12675" w:type="dxa"/>
        <w:tblCellSpacing w:w="0" w:type="dxa"/>
        <w:tblCellMar>
          <w:left w:w="0" w:type="dxa"/>
          <w:right w:w="0" w:type="dxa"/>
        </w:tblCellMar>
        <w:tblLook w:val="04A0" w:firstRow="1" w:lastRow="0" w:firstColumn="1" w:lastColumn="0" w:noHBand="0" w:noVBand="1"/>
      </w:tblPr>
      <w:tblGrid>
        <w:gridCol w:w="2115"/>
        <w:gridCol w:w="960"/>
        <w:gridCol w:w="960"/>
        <w:gridCol w:w="960"/>
        <w:gridCol w:w="960"/>
        <w:gridCol w:w="960"/>
        <w:gridCol w:w="960"/>
        <w:gridCol w:w="960"/>
        <w:gridCol w:w="960"/>
        <w:gridCol w:w="960"/>
        <w:gridCol w:w="960"/>
        <w:gridCol w:w="960"/>
      </w:tblGrid>
      <w:tr w:rsidR="003F44E5" w:rsidRPr="003F44E5" w14:paraId="04B05A20" w14:textId="77777777" w:rsidTr="009B6A94">
        <w:trPr>
          <w:trHeight w:val="400"/>
          <w:tblCellSpacing w:w="0" w:type="dxa"/>
        </w:trPr>
        <w:tc>
          <w:tcPr>
            <w:tcW w:w="2115" w:type="dxa"/>
            <w:vAlign w:val="center"/>
            <w:hideMark/>
          </w:tcPr>
          <w:p w14:paraId="4B68359A"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960" w:type="dxa"/>
            <w:vAlign w:val="center"/>
            <w:hideMark/>
          </w:tcPr>
          <w:p w14:paraId="77DD2890"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2013-14</w:t>
            </w:r>
          </w:p>
        </w:tc>
        <w:tc>
          <w:tcPr>
            <w:tcW w:w="960" w:type="dxa"/>
            <w:vAlign w:val="center"/>
            <w:hideMark/>
          </w:tcPr>
          <w:p w14:paraId="7A6A116C"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2014-15</w:t>
            </w:r>
          </w:p>
        </w:tc>
        <w:tc>
          <w:tcPr>
            <w:tcW w:w="960" w:type="dxa"/>
            <w:vAlign w:val="center"/>
            <w:hideMark/>
          </w:tcPr>
          <w:p w14:paraId="522B58D7"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2015-16</w:t>
            </w:r>
          </w:p>
        </w:tc>
        <w:tc>
          <w:tcPr>
            <w:tcW w:w="960" w:type="dxa"/>
            <w:vAlign w:val="center"/>
            <w:hideMark/>
          </w:tcPr>
          <w:p w14:paraId="63FC0CA4"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2016-17</w:t>
            </w:r>
          </w:p>
        </w:tc>
        <w:tc>
          <w:tcPr>
            <w:tcW w:w="960" w:type="dxa"/>
            <w:vAlign w:val="center"/>
            <w:hideMark/>
          </w:tcPr>
          <w:p w14:paraId="577DD5EE"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2017-18</w:t>
            </w:r>
          </w:p>
        </w:tc>
        <w:tc>
          <w:tcPr>
            <w:tcW w:w="960" w:type="dxa"/>
            <w:vAlign w:val="center"/>
            <w:hideMark/>
          </w:tcPr>
          <w:p w14:paraId="1184E9F3"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2018-19</w:t>
            </w:r>
          </w:p>
        </w:tc>
        <w:tc>
          <w:tcPr>
            <w:tcW w:w="960" w:type="dxa"/>
            <w:vAlign w:val="center"/>
            <w:hideMark/>
          </w:tcPr>
          <w:p w14:paraId="330FC4A1"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2019-20</w:t>
            </w:r>
          </w:p>
        </w:tc>
        <w:tc>
          <w:tcPr>
            <w:tcW w:w="960" w:type="dxa"/>
            <w:vAlign w:val="center"/>
            <w:hideMark/>
          </w:tcPr>
          <w:p w14:paraId="7EF7148C"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2020-21</w:t>
            </w:r>
          </w:p>
        </w:tc>
        <w:tc>
          <w:tcPr>
            <w:tcW w:w="960" w:type="dxa"/>
            <w:vAlign w:val="center"/>
            <w:hideMark/>
          </w:tcPr>
          <w:p w14:paraId="67DC4AAC"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2021-22</w:t>
            </w:r>
          </w:p>
        </w:tc>
        <w:tc>
          <w:tcPr>
            <w:tcW w:w="960" w:type="dxa"/>
            <w:vAlign w:val="center"/>
            <w:hideMark/>
          </w:tcPr>
          <w:p w14:paraId="0929A698"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2022-23</w:t>
            </w:r>
          </w:p>
        </w:tc>
        <w:tc>
          <w:tcPr>
            <w:tcW w:w="960" w:type="dxa"/>
            <w:vAlign w:val="center"/>
            <w:hideMark/>
          </w:tcPr>
          <w:p w14:paraId="1DE8BD3C"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2023-24</w:t>
            </w:r>
          </w:p>
        </w:tc>
      </w:tr>
      <w:tr w:rsidR="003F44E5" w:rsidRPr="003F44E5" w14:paraId="5A28F6C6" w14:textId="77777777" w:rsidTr="009B6A94">
        <w:trPr>
          <w:trHeight w:val="400"/>
          <w:tblCellSpacing w:w="0" w:type="dxa"/>
        </w:trPr>
        <w:tc>
          <w:tcPr>
            <w:tcW w:w="0" w:type="auto"/>
            <w:vAlign w:val="center"/>
            <w:hideMark/>
          </w:tcPr>
          <w:p w14:paraId="7C7E415B"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10-Yr Interest Rates</w:t>
            </w:r>
          </w:p>
        </w:tc>
        <w:tc>
          <w:tcPr>
            <w:tcW w:w="0" w:type="auto"/>
            <w:vAlign w:val="center"/>
            <w:hideMark/>
          </w:tcPr>
          <w:p w14:paraId="129E480E"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2.08</w:t>
            </w:r>
          </w:p>
        </w:tc>
        <w:tc>
          <w:tcPr>
            <w:tcW w:w="0" w:type="auto"/>
            <w:vAlign w:val="center"/>
            <w:hideMark/>
          </w:tcPr>
          <w:p w14:paraId="5D3F0EA3"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2.66</w:t>
            </w:r>
          </w:p>
        </w:tc>
        <w:tc>
          <w:tcPr>
            <w:tcW w:w="0" w:type="auto"/>
            <w:vAlign w:val="center"/>
            <w:hideMark/>
          </w:tcPr>
          <w:p w14:paraId="57215CFA"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3.47</w:t>
            </w:r>
          </w:p>
        </w:tc>
        <w:tc>
          <w:tcPr>
            <w:tcW w:w="0" w:type="auto"/>
            <w:vAlign w:val="center"/>
            <w:hideMark/>
          </w:tcPr>
          <w:p w14:paraId="35F8D3E3"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4.33</w:t>
            </w:r>
          </w:p>
        </w:tc>
        <w:tc>
          <w:tcPr>
            <w:tcW w:w="0" w:type="auto"/>
            <w:vAlign w:val="center"/>
            <w:hideMark/>
          </w:tcPr>
          <w:p w14:paraId="25E588FA"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5.01</w:t>
            </w:r>
          </w:p>
        </w:tc>
        <w:tc>
          <w:tcPr>
            <w:tcW w:w="0" w:type="auto"/>
            <w:vAlign w:val="center"/>
            <w:hideMark/>
          </w:tcPr>
          <w:p w14:paraId="71C4ACAB"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5.2</w:t>
            </w:r>
          </w:p>
        </w:tc>
        <w:tc>
          <w:tcPr>
            <w:tcW w:w="0" w:type="auto"/>
            <w:vAlign w:val="center"/>
            <w:hideMark/>
          </w:tcPr>
          <w:p w14:paraId="212111C3"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5.2</w:t>
            </w:r>
          </w:p>
        </w:tc>
        <w:tc>
          <w:tcPr>
            <w:tcW w:w="0" w:type="auto"/>
            <w:vAlign w:val="center"/>
            <w:hideMark/>
          </w:tcPr>
          <w:p w14:paraId="0CB32036"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5.2</w:t>
            </w:r>
          </w:p>
        </w:tc>
        <w:tc>
          <w:tcPr>
            <w:tcW w:w="0" w:type="auto"/>
            <w:vAlign w:val="center"/>
            <w:hideMark/>
          </w:tcPr>
          <w:p w14:paraId="4EE77E33"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5.2</w:t>
            </w:r>
          </w:p>
        </w:tc>
        <w:tc>
          <w:tcPr>
            <w:tcW w:w="0" w:type="auto"/>
            <w:vAlign w:val="center"/>
            <w:hideMark/>
          </w:tcPr>
          <w:p w14:paraId="21E1486A"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5.2</w:t>
            </w:r>
          </w:p>
        </w:tc>
        <w:tc>
          <w:tcPr>
            <w:tcW w:w="0" w:type="auto"/>
            <w:vAlign w:val="center"/>
            <w:hideMark/>
          </w:tcPr>
          <w:p w14:paraId="5AA3D4D6"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5.2</w:t>
            </w:r>
          </w:p>
        </w:tc>
      </w:tr>
      <w:tr w:rsidR="003F44E5" w:rsidRPr="003F44E5" w14:paraId="1C7F0069" w14:textId="77777777" w:rsidTr="009B6A94">
        <w:trPr>
          <w:trHeight w:val="400"/>
          <w:tblCellSpacing w:w="0" w:type="dxa"/>
        </w:trPr>
        <w:tc>
          <w:tcPr>
            <w:tcW w:w="0" w:type="auto"/>
            <w:vAlign w:val="center"/>
            <w:hideMark/>
          </w:tcPr>
          <w:p w14:paraId="708FEC62"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5C6C5F5D"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4493650D"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65987DA2"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2618AEDB"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1BF8DCD4"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353C7F9E"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6CF898A0"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1804363A"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74A10B89"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61447703"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1A968BD4"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r>
      <w:tr w:rsidR="003F44E5" w:rsidRPr="003F44E5" w14:paraId="0A8C5FEC" w14:textId="77777777" w:rsidTr="009B6A94">
        <w:trPr>
          <w:trHeight w:val="400"/>
          <w:tblCellSpacing w:w="0" w:type="dxa"/>
        </w:trPr>
        <w:tc>
          <w:tcPr>
            <w:tcW w:w="0" w:type="auto"/>
            <w:vAlign w:val="center"/>
            <w:hideMark/>
          </w:tcPr>
          <w:p w14:paraId="4F3F7F0E"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Current Law: Sub</w:t>
            </w:r>
          </w:p>
        </w:tc>
        <w:tc>
          <w:tcPr>
            <w:tcW w:w="0" w:type="auto"/>
            <w:vAlign w:val="center"/>
            <w:hideMark/>
          </w:tcPr>
          <w:p w14:paraId="51FA1DCB"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0355C932"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0D142B7B"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59D4B685"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506AE5EE"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3003BE98"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1AB38C9C"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752609C5"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4F51C73F"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0F559F52"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62CDC1B0"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r>
      <w:tr w:rsidR="003F44E5" w:rsidRPr="003F44E5" w14:paraId="595EAC93" w14:textId="77777777" w:rsidTr="009B6A94">
        <w:trPr>
          <w:trHeight w:val="400"/>
          <w:tblCellSpacing w:w="0" w:type="dxa"/>
        </w:trPr>
        <w:tc>
          <w:tcPr>
            <w:tcW w:w="0" w:type="auto"/>
            <w:vAlign w:val="center"/>
            <w:hideMark/>
          </w:tcPr>
          <w:p w14:paraId="46489230"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 xml:space="preserve">Current law: </w:t>
            </w:r>
            <w:proofErr w:type="spellStart"/>
            <w:r w:rsidRPr="003F44E5">
              <w:rPr>
                <w:rFonts w:ascii="Arial" w:eastAsia="Times New Roman" w:hAnsi="Arial"/>
                <w:b/>
                <w:bCs/>
                <w:color w:val="auto"/>
                <w:sz w:val="20"/>
                <w:szCs w:val="20"/>
              </w:rPr>
              <w:t>Unsub</w:t>
            </w:r>
            <w:proofErr w:type="spellEnd"/>
          </w:p>
        </w:tc>
        <w:tc>
          <w:tcPr>
            <w:tcW w:w="0" w:type="auto"/>
            <w:vAlign w:val="center"/>
            <w:hideMark/>
          </w:tcPr>
          <w:p w14:paraId="691D10C7"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1B199E3A"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40D7DB2E"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340051D2"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0B4FC487"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0E331D5A"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59F9C2E9"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5DB74DD8"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5C323235"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0CBCF3D3"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c>
          <w:tcPr>
            <w:tcW w:w="0" w:type="auto"/>
            <w:vAlign w:val="center"/>
            <w:hideMark/>
          </w:tcPr>
          <w:p w14:paraId="47E28D97"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6.8</w:t>
            </w:r>
          </w:p>
        </w:tc>
      </w:tr>
      <w:tr w:rsidR="003F44E5" w:rsidRPr="003F44E5" w14:paraId="42E6CC05" w14:textId="77777777" w:rsidTr="009B6A94">
        <w:trPr>
          <w:trHeight w:val="400"/>
          <w:tblCellSpacing w:w="0" w:type="dxa"/>
        </w:trPr>
        <w:tc>
          <w:tcPr>
            <w:tcW w:w="0" w:type="auto"/>
            <w:vAlign w:val="center"/>
            <w:hideMark/>
          </w:tcPr>
          <w:p w14:paraId="200F71A0"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Proposed: Undergrad</w:t>
            </w:r>
          </w:p>
        </w:tc>
        <w:tc>
          <w:tcPr>
            <w:tcW w:w="0" w:type="auto"/>
            <w:vAlign w:val="center"/>
            <w:hideMark/>
          </w:tcPr>
          <w:p w14:paraId="0B86C206"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4.13</w:t>
            </w:r>
          </w:p>
        </w:tc>
        <w:tc>
          <w:tcPr>
            <w:tcW w:w="0" w:type="auto"/>
            <w:vAlign w:val="center"/>
            <w:hideMark/>
          </w:tcPr>
          <w:p w14:paraId="4BCE0AD0"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4.71</w:t>
            </w:r>
          </w:p>
        </w:tc>
        <w:tc>
          <w:tcPr>
            <w:tcW w:w="0" w:type="auto"/>
            <w:vAlign w:val="center"/>
            <w:hideMark/>
          </w:tcPr>
          <w:p w14:paraId="3A81B4F7"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5.52</w:t>
            </w:r>
          </w:p>
        </w:tc>
        <w:tc>
          <w:tcPr>
            <w:tcW w:w="0" w:type="auto"/>
            <w:vAlign w:val="center"/>
            <w:hideMark/>
          </w:tcPr>
          <w:p w14:paraId="1D0834AF"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6.38</w:t>
            </w:r>
          </w:p>
        </w:tc>
        <w:tc>
          <w:tcPr>
            <w:tcW w:w="0" w:type="auto"/>
            <w:vAlign w:val="center"/>
            <w:hideMark/>
          </w:tcPr>
          <w:p w14:paraId="5ED9E5F4"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7.06</w:t>
            </w:r>
          </w:p>
        </w:tc>
        <w:tc>
          <w:tcPr>
            <w:tcW w:w="0" w:type="auto"/>
            <w:vAlign w:val="center"/>
            <w:hideMark/>
          </w:tcPr>
          <w:p w14:paraId="6857AD4F"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7.25</w:t>
            </w:r>
          </w:p>
        </w:tc>
        <w:tc>
          <w:tcPr>
            <w:tcW w:w="0" w:type="auto"/>
            <w:vAlign w:val="center"/>
            <w:hideMark/>
          </w:tcPr>
          <w:p w14:paraId="06A0B094"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7.25</w:t>
            </w:r>
          </w:p>
        </w:tc>
        <w:tc>
          <w:tcPr>
            <w:tcW w:w="0" w:type="auto"/>
            <w:vAlign w:val="center"/>
            <w:hideMark/>
          </w:tcPr>
          <w:p w14:paraId="5DA2E16D"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7.25</w:t>
            </w:r>
          </w:p>
        </w:tc>
        <w:tc>
          <w:tcPr>
            <w:tcW w:w="0" w:type="auto"/>
            <w:vAlign w:val="center"/>
            <w:hideMark/>
          </w:tcPr>
          <w:p w14:paraId="4CAEED43"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7.25</w:t>
            </w:r>
          </w:p>
        </w:tc>
        <w:tc>
          <w:tcPr>
            <w:tcW w:w="0" w:type="auto"/>
            <w:vAlign w:val="center"/>
            <w:hideMark/>
          </w:tcPr>
          <w:p w14:paraId="6DD0F4EF"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7.25</w:t>
            </w:r>
          </w:p>
        </w:tc>
        <w:tc>
          <w:tcPr>
            <w:tcW w:w="0" w:type="auto"/>
            <w:vAlign w:val="center"/>
            <w:hideMark/>
          </w:tcPr>
          <w:p w14:paraId="04516D9D"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7.25</w:t>
            </w:r>
          </w:p>
        </w:tc>
      </w:tr>
      <w:tr w:rsidR="003F44E5" w:rsidRPr="003F44E5" w14:paraId="464F203E" w14:textId="77777777" w:rsidTr="009B6A94">
        <w:trPr>
          <w:trHeight w:val="400"/>
          <w:tblCellSpacing w:w="0" w:type="dxa"/>
        </w:trPr>
        <w:tc>
          <w:tcPr>
            <w:tcW w:w="0" w:type="auto"/>
            <w:vAlign w:val="center"/>
            <w:hideMark/>
          </w:tcPr>
          <w:p w14:paraId="2B2DA732"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1173F8AB"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291760E2"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00EC90C0"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0E79D6A4"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732C1097"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7C857357"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26A6CA37"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67A87253"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4436CBE5"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0538DFB2"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71EA586C"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r>
      <w:tr w:rsidR="003F44E5" w:rsidRPr="003F44E5" w14:paraId="3E76FC93" w14:textId="77777777" w:rsidTr="009B6A94">
        <w:trPr>
          <w:trHeight w:val="400"/>
          <w:tblCellSpacing w:w="0" w:type="dxa"/>
        </w:trPr>
        <w:tc>
          <w:tcPr>
            <w:tcW w:w="0" w:type="auto"/>
            <w:vAlign w:val="center"/>
            <w:hideMark/>
          </w:tcPr>
          <w:p w14:paraId="6494D1D9"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Proposed: Grad</w:t>
            </w:r>
          </w:p>
        </w:tc>
        <w:tc>
          <w:tcPr>
            <w:tcW w:w="0" w:type="auto"/>
            <w:vAlign w:val="center"/>
            <w:hideMark/>
          </w:tcPr>
          <w:p w14:paraId="3C435E2E"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5.68</w:t>
            </w:r>
          </w:p>
        </w:tc>
        <w:tc>
          <w:tcPr>
            <w:tcW w:w="0" w:type="auto"/>
            <w:vAlign w:val="center"/>
            <w:hideMark/>
          </w:tcPr>
          <w:p w14:paraId="7F80D736"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6.26</w:t>
            </w:r>
          </w:p>
        </w:tc>
        <w:tc>
          <w:tcPr>
            <w:tcW w:w="0" w:type="auto"/>
            <w:vAlign w:val="center"/>
            <w:hideMark/>
          </w:tcPr>
          <w:p w14:paraId="0CCD1DEB"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7.07</w:t>
            </w:r>
          </w:p>
        </w:tc>
        <w:tc>
          <w:tcPr>
            <w:tcW w:w="0" w:type="auto"/>
            <w:vAlign w:val="center"/>
            <w:hideMark/>
          </w:tcPr>
          <w:p w14:paraId="3401780B"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7.93</w:t>
            </w:r>
          </w:p>
        </w:tc>
        <w:tc>
          <w:tcPr>
            <w:tcW w:w="0" w:type="auto"/>
            <w:vAlign w:val="center"/>
            <w:hideMark/>
          </w:tcPr>
          <w:p w14:paraId="37671643"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8.61</w:t>
            </w:r>
          </w:p>
        </w:tc>
        <w:tc>
          <w:tcPr>
            <w:tcW w:w="0" w:type="auto"/>
            <w:vAlign w:val="center"/>
            <w:hideMark/>
          </w:tcPr>
          <w:p w14:paraId="08CDE122"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8.8</w:t>
            </w:r>
          </w:p>
        </w:tc>
        <w:tc>
          <w:tcPr>
            <w:tcW w:w="0" w:type="auto"/>
            <w:vAlign w:val="center"/>
            <w:hideMark/>
          </w:tcPr>
          <w:p w14:paraId="5D429231"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8.8</w:t>
            </w:r>
          </w:p>
        </w:tc>
        <w:tc>
          <w:tcPr>
            <w:tcW w:w="0" w:type="auto"/>
            <w:vAlign w:val="center"/>
            <w:hideMark/>
          </w:tcPr>
          <w:p w14:paraId="5DEF4E85"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8.8</w:t>
            </w:r>
          </w:p>
        </w:tc>
        <w:tc>
          <w:tcPr>
            <w:tcW w:w="0" w:type="auto"/>
            <w:vAlign w:val="center"/>
            <w:hideMark/>
          </w:tcPr>
          <w:p w14:paraId="40A433A9"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8.8</w:t>
            </w:r>
          </w:p>
        </w:tc>
        <w:tc>
          <w:tcPr>
            <w:tcW w:w="0" w:type="auto"/>
            <w:vAlign w:val="center"/>
            <w:hideMark/>
          </w:tcPr>
          <w:p w14:paraId="765EB115"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8.8</w:t>
            </w:r>
          </w:p>
        </w:tc>
        <w:tc>
          <w:tcPr>
            <w:tcW w:w="0" w:type="auto"/>
            <w:vAlign w:val="center"/>
            <w:hideMark/>
          </w:tcPr>
          <w:p w14:paraId="29BC78E7"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8.8</w:t>
            </w:r>
          </w:p>
        </w:tc>
      </w:tr>
      <w:tr w:rsidR="003F44E5" w:rsidRPr="003F44E5" w14:paraId="1678FA5E" w14:textId="77777777" w:rsidTr="009B6A94">
        <w:trPr>
          <w:trHeight w:val="400"/>
          <w:tblCellSpacing w:w="0" w:type="dxa"/>
        </w:trPr>
        <w:tc>
          <w:tcPr>
            <w:tcW w:w="0" w:type="auto"/>
            <w:vAlign w:val="center"/>
            <w:hideMark/>
          </w:tcPr>
          <w:p w14:paraId="75C47841"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0D464230"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5B65E68E"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6F4ABB7C"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21078573"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38975AEE"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2188213F"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7E703DFB"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3306CD0E"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26F56A21"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2FF537E0"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c>
          <w:tcPr>
            <w:tcW w:w="0" w:type="auto"/>
            <w:vAlign w:val="center"/>
            <w:hideMark/>
          </w:tcPr>
          <w:p w14:paraId="6D6D5594" w14:textId="77777777" w:rsidR="003F44E5" w:rsidRPr="0050527B" w:rsidRDefault="003F44E5" w:rsidP="009B6A94">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t> </w:t>
            </w:r>
          </w:p>
        </w:tc>
      </w:tr>
      <w:tr w:rsidR="003F44E5" w:rsidRPr="003F44E5" w14:paraId="231A3BCB" w14:textId="77777777" w:rsidTr="009B6A94">
        <w:trPr>
          <w:trHeight w:val="400"/>
          <w:tblCellSpacing w:w="0" w:type="dxa"/>
        </w:trPr>
        <w:tc>
          <w:tcPr>
            <w:tcW w:w="0" w:type="auto"/>
            <w:vAlign w:val="center"/>
            <w:hideMark/>
          </w:tcPr>
          <w:p w14:paraId="3A299555"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Current Law: PLUS</w:t>
            </w:r>
          </w:p>
        </w:tc>
        <w:tc>
          <w:tcPr>
            <w:tcW w:w="0" w:type="auto"/>
            <w:vAlign w:val="center"/>
            <w:hideMark/>
          </w:tcPr>
          <w:p w14:paraId="6852A5A8"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7.9</w:t>
            </w:r>
          </w:p>
        </w:tc>
        <w:tc>
          <w:tcPr>
            <w:tcW w:w="0" w:type="auto"/>
            <w:vAlign w:val="center"/>
            <w:hideMark/>
          </w:tcPr>
          <w:p w14:paraId="45AA1EAF"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7.9</w:t>
            </w:r>
          </w:p>
        </w:tc>
        <w:tc>
          <w:tcPr>
            <w:tcW w:w="0" w:type="auto"/>
            <w:vAlign w:val="center"/>
            <w:hideMark/>
          </w:tcPr>
          <w:p w14:paraId="2A67F4B2"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7.9</w:t>
            </w:r>
          </w:p>
        </w:tc>
        <w:tc>
          <w:tcPr>
            <w:tcW w:w="0" w:type="auto"/>
            <w:vAlign w:val="center"/>
            <w:hideMark/>
          </w:tcPr>
          <w:p w14:paraId="71231153"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7.9</w:t>
            </w:r>
          </w:p>
        </w:tc>
        <w:tc>
          <w:tcPr>
            <w:tcW w:w="0" w:type="auto"/>
            <w:vAlign w:val="center"/>
            <w:hideMark/>
          </w:tcPr>
          <w:p w14:paraId="695C93FD"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7.9</w:t>
            </w:r>
          </w:p>
        </w:tc>
        <w:tc>
          <w:tcPr>
            <w:tcW w:w="0" w:type="auto"/>
            <w:vAlign w:val="center"/>
            <w:hideMark/>
          </w:tcPr>
          <w:p w14:paraId="1FA62E0C"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7.9</w:t>
            </w:r>
          </w:p>
        </w:tc>
        <w:tc>
          <w:tcPr>
            <w:tcW w:w="0" w:type="auto"/>
            <w:vAlign w:val="center"/>
            <w:hideMark/>
          </w:tcPr>
          <w:p w14:paraId="454153BB"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7.9</w:t>
            </w:r>
          </w:p>
        </w:tc>
        <w:tc>
          <w:tcPr>
            <w:tcW w:w="0" w:type="auto"/>
            <w:vAlign w:val="center"/>
            <w:hideMark/>
          </w:tcPr>
          <w:p w14:paraId="763610CF"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7.9</w:t>
            </w:r>
          </w:p>
        </w:tc>
        <w:tc>
          <w:tcPr>
            <w:tcW w:w="0" w:type="auto"/>
            <w:vAlign w:val="center"/>
            <w:hideMark/>
          </w:tcPr>
          <w:p w14:paraId="132FDA46"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7.9</w:t>
            </w:r>
          </w:p>
        </w:tc>
        <w:tc>
          <w:tcPr>
            <w:tcW w:w="0" w:type="auto"/>
            <w:vAlign w:val="center"/>
            <w:hideMark/>
          </w:tcPr>
          <w:p w14:paraId="2DD579AF"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7.9</w:t>
            </w:r>
          </w:p>
        </w:tc>
        <w:tc>
          <w:tcPr>
            <w:tcW w:w="0" w:type="auto"/>
            <w:vAlign w:val="center"/>
            <w:hideMark/>
          </w:tcPr>
          <w:p w14:paraId="71AA08A3"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7.9</w:t>
            </w:r>
          </w:p>
        </w:tc>
      </w:tr>
      <w:tr w:rsidR="003F44E5" w:rsidRPr="003F44E5" w14:paraId="024B3C3A" w14:textId="77777777" w:rsidTr="009B6A94">
        <w:trPr>
          <w:trHeight w:val="400"/>
          <w:tblCellSpacing w:w="0" w:type="dxa"/>
        </w:trPr>
        <w:tc>
          <w:tcPr>
            <w:tcW w:w="0" w:type="auto"/>
            <w:vAlign w:val="center"/>
            <w:hideMark/>
          </w:tcPr>
          <w:p w14:paraId="4074A7D9" w14:textId="77777777" w:rsidR="003F44E5" w:rsidRPr="0050527B" w:rsidRDefault="003F44E5" w:rsidP="009B6A94">
            <w:pPr>
              <w:rPr>
                <w:rFonts w:ascii="Times" w:eastAsia="Times New Roman" w:hAnsi="Times" w:cs="Times New Roman"/>
                <w:color w:val="auto"/>
                <w:sz w:val="20"/>
                <w:szCs w:val="20"/>
              </w:rPr>
            </w:pPr>
            <w:r w:rsidRPr="003F44E5">
              <w:rPr>
                <w:rFonts w:ascii="Arial" w:eastAsia="Times New Roman" w:hAnsi="Arial"/>
                <w:b/>
                <w:bCs/>
                <w:color w:val="auto"/>
                <w:sz w:val="20"/>
                <w:szCs w:val="20"/>
              </w:rPr>
              <w:t>Proposed: PLUS</w:t>
            </w:r>
          </w:p>
        </w:tc>
        <w:tc>
          <w:tcPr>
            <w:tcW w:w="0" w:type="auto"/>
            <w:vAlign w:val="center"/>
            <w:hideMark/>
          </w:tcPr>
          <w:p w14:paraId="56580626"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6.68</w:t>
            </w:r>
          </w:p>
        </w:tc>
        <w:tc>
          <w:tcPr>
            <w:tcW w:w="0" w:type="auto"/>
            <w:vAlign w:val="center"/>
            <w:hideMark/>
          </w:tcPr>
          <w:p w14:paraId="09F0C33D"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7.26</w:t>
            </w:r>
          </w:p>
        </w:tc>
        <w:tc>
          <w:tcPr>
            <w:tcW w:w="0" w:type="auto"/>
            <w:vAlign w:val="center"/>
            <w:hideMark/>
          </w:tcPr>
          <w:p w14:paraId="747EB00F"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8.07</w:t>
            </w:r>
          </w:p>
        </w:tc>
        <w:tc>
          <w:tcPr>
            <w:tcW w:w="0" w:type="auto"/>
            <w:vAlign w:val="center"/>
            <w:hideMark/>
          </w:tcPr>
          <w:p w14:paraId="3B35126E"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8.93</w:t>
            </w:r>
          </w:p>
        </w:tc>
        <w:tc>
          <w:tcPr>
            <w:tcW w:w="0" w:type="auto"/>
            <w:vAlign w:val="center"/>
            <w:hideMark/>
          </w:tcPr>
          <w:p w14:paraId="7E10DDD9"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9.61</w:t>
            </w:r>
          </w:p>
        </w:tc>
        <w:tc>
          <w:tcPr>
            <w:tcW w:w="0" w:type="auto"/>
            <w:vAlign w:val="center"/>
            <w:hideMark/>
          </w:tcPr>
          <w:p w14:paraId="681BD081"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9.8</w:t>
            </w:r>
          </w:p>
        </w:tc>
        <w:tc>
          <w:tcPr>
            <w:tcW w:w="0" w:type="auto"/>
            <w:vAlign w:val="center"/>
            <w:hideMark/>
          </w:tcPr>
          <w:p w14:paraId="0E1ADCAD"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9.8</w:t>
            </w:r>
          </w:p>
        </w:tc>
        <w:tc>
          <w:tcPr>
            <w:tcW w:w="0" w:type="auto"/>
            <w:vAlign w:val="center"/>
            <w:hideMark/>
          </w:tcPr>
          <w:p w14:paraId="37909D55"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9.8</w:t>
            </w:r>
          </w:p>
        </w:tc>
        <w:tc>
          <w:tcPr>
            <w:tcW w:w="0" w:type="auto"/>
            <w:vAlign w:val="center"/>
            <w:hideMark/>
          </w:tcPr>
          <w:p w14:paraId="41F0A078"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9.8</w:t>
            </w:r>
          </w:p>
        </w:tc>
        <w:tc>
          <w:tcPr>
            <w:tcW w:w="0" w:type="auto"/>
            <w:vAlign w:val="center"/>
            <w:hideMark/>
          </w:tcPr>
          <w:p w14:paraId="4748E639"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9.8</w:t>
            </w:r>
          </w:p>
        </w:tc>
        <w:tc>
          <w:tcPr>
            <w:tcW w:w="0" w:type="auto"/>
            <w:vAlign w:val="center"/>
            <w:hideMark/>
          </w:tcPr>
          <w:p w14:paraId="52B4EF40" w14:textId="77777777" w:rsidR="003F44E5" w:rsidRPr="0050527B" w:rsidRDefault="003F44E5" w:rsidP="009B6A94">
            <w:pPr>
              <w:rPr>
                <w:rFonts w:ascii="Times" w:eastAsia="Times New Roman" w:hAnsi="Times" w:cs="Times New Roman"/>
                <w:color w:val="auto"/>
                <w:sz w:val="20"/>
                <w:szCs w:val="20"/>
              </w:rPr>
            </w:pPr>
            <w:r w:rsidRPr="0050527B">
              <w:rPr>
                <w:rFonts w:ascii="Arial" w:eastAsia="Times New Roman" w:hAnsi="Arial"/>
                <w:color w:val="auto"/>
                <w:sz w:val="20"/>
                <w:szCs w:val="20"/>
              </w:rPr>
              <w:t>9.8</w:t>
            </w:r>
          </w:p>
        </w:tc>
      </w:tr>
    </w:tbl>
    <w:p w14:paraId="1B52259C" w14:textId="77777777" w:rsidR="003F44E5" w:rsidRDefault="003F44E5" w:rsidP="003F44E5"/>
    <w:p w14:paraId="39798F6A" w14:textId="77777777" w:rsidR="003F44E5" w:rsidRPr="0050527B" w:rsidRDefault="003F44E5" w:rsidP="003F44E5">
      <w:pPr>
        <w:rPr>
          <w:rFonts w:ascii="Times" w:eastAsia="Times New Roman" w:hAnsi="Times" w:cs="Times New Roman"/>
          <w:color w:val="auto"/>
          <w:sz w:val="20"/>
          <w:szCs w:val="20"/>
        </w:rPr>
      </w:pPr>
      <w:r w:rsidRPr="0050527B">
        <w:rPr>
          <w:rFonts w:ascii="Times" w:eastAsia="Times New Roman" w:hAnsi="Times" w:cs="Times New Roman"/>
          <w:color w:val="auto"/>
          <w:sz w:val="20"/>
          <w:szCs w:val="20"/>
        </w:rPr>
        <w:br/>
      </w:r>
      <w:r w:rsidRPr="0050527B">
        <w:rPr>
          <w:rFonts w:ascii="Arial" w:eastAsia="Times New Roman" w:hAnsi="Arial"/>
          <w:b/>
          <w:bCs/>
          <w:color w:val="auto"/>
          <w:sz w:val="20"/>
          <w:szCs w:val="20"/>
          <w:u w:val="single"/>
        </w:rPr>
        <w:t>Appropriations</w:t>
      </w:r>
      <w:r w:rsidRPr="0050527B">
        <w:rPr>
          <w:rFonts w:ascii="Times" w:eastAsia="Times New Roman" w:hAnsi="Times" w:cs="Times New Roman"/>
          <w:color w:val="auto"/>
          <w:sz w:val="20"/>
          <w:szCs w:val="20"/>
        </w:rPr>
        <w:br/>
      </w:r>
      <w:r w:rsidRPr="0050527B">
        <w:rPr>
          <w:rFonts w:ascii="Times" w:eastAsia="Times New Roman" w:hAnsi="Times" w:cs="Times New Roman"/>
          <w:color w:val="auto"/>
          <w:sz w:val="20"/>
          <w:szCs w:val="20"/>
        </w:rPr>
        <w:br/>
      </w:r>
      <w:r w:rsidRPr="0050527B">
        <w:rPr>
          <w:rFonts w:ascii="Arial" w:eastAsia="Times New Roman" w:hAnsi="Arial"/>
          <w:color w:val="auto"/>
          <w:sz w:val="20"/>
          <w:szCs w:val="20"/>
        </w:rPr>
        <w:t>House</w:t>
      </w:r>
      <w:r w:rsidRPr="0050527B">
        <w:rPr>
          <w:rFonts w:ascii="Times" w:eastAsia="Times New Roman" w:hAnsi="Times" w:cs="Times New Roman"/>
          <w:color w:val="auto"/>
          <w:sz w:val="20"/>
          <w:szCs w:val="20"/>
        </w:rPr>
        <w:br/>
      </w:r>
      <w:r w:rsidRPr="0050527B">
        <w:rPr>
          <w:rFonts w:ascii="Arial" w:eastAsia="Times New Roman" w:hAnsi="Arial"/>
          <w:color w:val="auto"/>
          <w:sz w:val="20"/>
          <w:szCs w:val="20"/>
        </w:rPr>
        <w:t> </w:t>
      </w:r>
      <w:r w:rsidRPr="0050527B">
        <w:rPr>
          <w:rFonts w:ascii="Arial" w:eastAsia="Times New Roman" w:hAnsi="Arial"/>
          <w:color w:val="auto"/>
          <w:sz w:val="20"/>
          <w:szCs w:val="20"/>
        </w:rPr>
        <w:br/>
        <w:t>The House Appropriations Committee approved its 7th bill last week, Transportation/HUD. Heading into the July 4th recess, here is the status of House Appropriations bills:</w:t>
      </w:r>
    </w:p>
    <w:p w14:paraId="077FB9C4" w14:textId="77777777" w:rsidR="003F44E5" w:rsidRDefault="003F44E5" w:rsidP="003F44E5"/>
    <w:p w14:paraId="4A064907" w14:textId="77777777" w:rsidR="003F44E5" w:rsidRPr="0050527B" w:rsidRDefault="003F44E5" w:rsidP="003F44E5">
      <w:pPr>
        <w:numPr>
          <w:ilvl w:val="0"/>
          <w:numId w:val="1"/>
        </w:numPr>
        <w:spacing w:before="100" w:beforeAutospacing="1" w:after="100" w:afterAutospacing="1"/>
        <w:rPr>
          <w:rFonts w:ascii="Times" w:eastAsia="Times New Roman" w:hAnsi="Times" w:cs="Times New Roman"/>
          <w:color w:val="auto"/>
          <w:sz w:val="20"/>
          <w:szCs w:val="20"/>
        </w:rPr>
      </w:pPr>
      <w:r w:rsidRPr="0050527B">
        <w:rPr>
          <w:rFonts w:ascii="Arial" w:eastAsia="Times New Roman" w:hAnsi="Arial"/>
          <w:color w:val="auto"/>
          <w:sz w:val="20"/>
          <w:szCs w:val="20"/>
        </w:rPr>
        <w:t>Passed House (3): Homeland Security, Energy and Water, Military Construction-VA</w:t>
      </w:r>
    </w:p>
    <w:p w14:paraId="6E2C6D8D" w14:textId="77777777" w:rsidR="003F44E5" w:rsidRPr="0050527B" w:rsidRDefault="003F44E5" w:rsidP="003F44E5">
      <w:pPr>
        <w:numPr>
          <w:ilvl w:val="0"/>
          <w:numId w:val="1"/>
        </w:numPr>
        <w:spacing w:before="100" w:beforeAutospacing="1" w:after="100" w:afterAutospacing="1"/>
        <w:rPr>
          <w:rFonts w:ascii="Times" w:eastAsia="Times New Roman" w:hAnsi="Times" w:cs="Times New Roman"/>
          <w:color w:val="auto"/>
          <w:sz w:val="20"/>
          <w:szCs w:val="20"/>
        </w:rPr>
      </w:pPr>
      <w:r w:rsidRPr="0050527B">
        <w:rPr>
          <w:rFonts w:ascii="Arial" w:eastAsia="Times New Roman" w:hAnsi="Arial"/>
          <w:color w:val="auto"/>
          <w:sz w:val="20"/>
          <w:szCs w:val="20"/>
        </w:rPr>
        <w:t>Reported by full committee and cleared by the Rules Committee (1): Agriculture</w:t>
      </w:r>
    </w:p>
    <w:p w14:paraId="3973BC86" w14:textId="77777777" w:rsidR="003F44E5" w:rsidRPr="0050527B" w:rsidRDefault="003F44E5" w:rsidP="003F44E5">
      <w:pPr>
        <w:numPr>
          <w:ilvl w:val="0"/>
          <w:numId w:val="1"/>
        </w:numPr>
        <w:spacing w:before="100" w:beforeAutospacing="1" w:after="100" w:afterAutospacing="1"/>
        <w:rPr>
          <w:rFonts w:ascii="Times" w:eastAsia="Times New Roman" w:hAnsi="Times" w:cs="Times New Roman"/>
          <w:color w:val="auto"/>
          <w:sz w:val="20"/>
          <w:szCs w:val="20"/>
        </w:rPr>
      </w:pPr>
      <w:r w:rsidRPr="0050527B">
        <w:rPr>
          <w:rFonts w:ascii="Arial" w:eastAsia="Times New Roman" w:hAnsi="Arial"/>
          <w:color w:val="auto"/>
          <w:sz w:val="20"/>
          <w:szCs w:val="20"/>
        </w:rPr>
        <w:t>Reported by full committee (3): Defense, Transportation-HUD</w:t>
      </w:r>
    </w:p>
    <w:p w14:paraId="281435BA" w14:textId="77777777" w:rsidR="003F44E5" w:rsidRPr="0050527B" w:rsidRDefault="003F44E5" w:rsidP="003F44E5">
      <w:pPr>
        <w:numPr>
          <w:ilvl w:val="0"/>
          <w:numId w:val="1"/>
        </w:numPr>
        <w:spacing w:before="100" w:beforeAutospacing="1" w:after="100" w:afterAutospacing="1"/>
        <w:rPr>
          <w:rFonts w:ascii="Times" w:eastAsia="Times New Roman" w:hAnsi="Times" w:cs="Times New Roman"/>
          <w:color w:val="auto"/>
          <w:sz w:val="20"/>
          <w:szCs w:val="20"/>
        </w:rPr>
      </w:pPr>
      <w:r w:rsidRPr="0050527B">
        <w:rPr>
          <w:rFonts w:ascii="Arial" w:eastAsia="Times New Roman" w:hAnsi="Arial"/>
          <w:color w:val="auto"/>
          <w:sz w:val="20"/>
          <w:szCs w:val="20"/>
        </w:rPr>
        <w:t>No action (6): Commerce-Justice-Science, Financial Services, Interior-Environment, Labor-HHS-Education, Legislative Branch, State-Foreign Operations</w:t>
      </w:r>
    </w:p>
    <w:p w14:paraId="2A5DDA44" w14:textId="77777777" w:rsidR="003F44E5" w:rsidRDefault="003F44E5" w:rsidP="003F44E5">
      <w:pPr>
        <w:rPr>
          <w:rFonts w:ascii="Arial" w:eastAsia="Times New Roman" w:hAnsi="Arial"/>
          <w:color w:val="auto"/>
          <w:sz w:val="20"/>
          <w:szCs w:val="20"/>
        </w:rPr>
      </w:pPr>
      <w:r w:rsidRPr="0050527B">
        <w:rPr>
          <w:rFonts w:ascii="Arial" w:eastAsia="Times New Roman" w:hAnsi="Arial"/>
          <w:color w:val="auto"/>
          <w:sz w:val="20"/>
          <w:szCs w:val="20"/>
        </w:rPr>
        <w:t>For Labor-HHS-ED appropriations, no date has yet been set for subcommittee or full committee markup. Staff has indicated that it could be early September before it is taking up by the subcommittee or full committee</w:t>
      </w:r>
      <w:r w:rsidRPr="0050527B">
        <w:rPr>
          <w:rFonts w:ascii="Times" w:eastAsia="Times New Roman" w:hAnsi="Times" w:cs="Times New Roman"/>
          <w:color w:val="auto"/>
          <w:sz w:val="20"/>
          <w:szCs w:val="20"/>
        </w:rPr>
        <w:br/>
      </w:r>
      <w:r w:rsidRPr="0050527B">
        <w:rPr>
          <w:rFonts w:ascii="Times" w:eastAsia="Times New Roman" w:hAnsi="Times" w:cs="Times New Roman"/>
          <w:color w:val="auto"/>
          <w:sz w:val="20"/>
          <w:szCs w:val="20"/>
        </w:rPr>
        <w:br/>
      </w:r>
      <w:r w:rsidRPr="0050527B">
        <w:rPr>
          <w:rFonts w:ascii="Arial" w:eastAsia="Times New Roman" w:hAnsi="Arial"/>
          <w:color w:val="auto"/>
          <w:sz w:val="20"/>
          <w:szCs w:val="20"/>
        </w:rPr>
        <w:t>Senate</w:t>
      </w:r>
      <w:r w:rsidRPr="0050527B">
        <w:rPr>
          <w:rFonts w:ascii="Times" w:eastAsia="Times New Roman" w:hAnsi="Times" w:cs="Times New Roman"/>
          <w:color w:val="auto"/>
          <w:sz w:val="20"/>
          <w:szCs w:val="20"/>
        </w:rPr>
        <w:br/>
      </w:r>
      <w:r w:rsidRPr="0050527B">
        <w:rPr>
          <w:rFonts w:ascii="Arial" w:eastAsia="Times New Roman" w:hAnsi="Arial"/>
          <w:color w:val="auto"/>
          <w:sz w:val="20"/>
          <w:szCs w:val="20"/>
        </w:rPr>
        <w:t> </w:t>
      </w:r>
      <w:r w:rsidRPr="0050527B">
        <w:rPr>
          <w:rFonts w:ascii="Arial" w:eastAsia="Times New Roman" w:hAnsi="Arial"/>
          <w:color w:val="auto"/>
          <w:sz w:val="20"/>
          <w:szCs w:val="20"/>
        </w:rPr>
        <w:br/>
        <w:t>Passed Senate</w:t>
      </w:r>
      <w:proofErr w:type="gramStart"/>
      <w:r w:rsidRPr="0050527B">
        <w:rPr>
          <w:rFonts w:ascii="Arial" w:eastAsia="Times New Roman" w:hAnsi="Arial"/>
          <w:color w:val="auto"/>
          <w:sz w:val="20"/>
          <w:szCs w:val="20"/>
        </w:rPr>
        <w:t>-(</w:t>
      </w:r>
      <w:proofErr w:type="gramEnd"/>
      <w:r w:rsidRPr="0050527B">
        <w:rPr>
          <w:rFonts w:ascii="Arial" w:eastAsia="Times New Roman" w:hAnsi="Arial"/>
          <w:color w:val="auto"/>
          <w:sz w:val="20"/>
          <w:szCs w:val="20"/>
        </w:rPr>
        <w:t>0)</w:t>
      </w:r>
      <w:r w:rsidRPr="0050527B">
        <w:rPr>
          <w:rFonts w:ascii="Arial" w:eastAsia="Times New Roman" w:hAnsi="Arial"/>
          <w:color w:val="auto"/>
          <w:sz w:val="20"/>
          <w:szCs w:val="20"/>
        </w:rPr>
        <w:br/>
        <w:t>Passed Committee-Agriculture, Commerce-Justice-Science, Energy-Water, Homeland Security, Labor-HHS-Education, Legislative Branch, Military Construction, Transportation-HUD</w:t>
      </w:r>
      <w:r w:rsidRPr="0050527B">
        <w:rPr>
          <w:rFonts w:ascii="Arial" w:eastAsia="Times New Roman" w:hAnsi="Arial"/>
          <w:color w:val="auto"/>
          <w:sz w:val="20"/>
          <w:szCs w:val="20"/>
        </w:rPr>
        <w:br/>
        <w:t> </w:t>
      </w:r>
      <w:r w:rsidRPr="0050527B">
        <w:rPr>
          <w:rFonts w:ascii="Arial" w:eastAsia="Times New Roman" w:hAnsi="Arial"/>
          <w:color w:val="auto"/>
          <w:sz w:val="20"/>
          <w:szCs w:val="20"/>
        </w:rPr>
        <w:br/>
        <w:t>Based on our conversations with the Hill, AASCU does not expect any of the appropriations bills to reach the President’s desk. We expect that come September Congress will pass another 1 year continuing resolution.</w:t>
      </w:r>
      <w:r w:rsidRPr="0050527B">
        <w:rPr>
          <w:rFonts w:ascii="Times" w:eastAsia="Times New Roman" w:hAnsi="Times" w:cs="Times New Roman"/>
          <w:color w:val="auto"/>
          <w:sz w:val="20"/>
          <w:szCs w:val="20"/>
        </w:rPr>
        <w:br/>
      </w:r>
      <w:r w:rsidRPr="0050527B">
        <w:rPr>
          <w:rFonts w:ascii="Times" w:eastAsia="Times New Roman" w:hAnsi="Times" w:cs="Times New Roman"/>
          <w:color w:val="auto"/>
          <w:sz w:val="20"/>
          <w:szCs w:val="20"/>
        </w:rPr>
        <w:br/>
      </w:r>
      <w:r w:rsidRPr="0050527B">
        <w:rPr>
          <w:rFonts w:ascii="Times" w:eastAsia="Times New Roman" w:hAnsi="Times" w:cs="Times New Roman"/>
          <w:color w:val="auto"/>
          <w:sz w:val="20"/>
          <w:szCs w:val="20"/>
        </w:rPr>
        <w:br/>
      </w:r>
      <w:r w:rsidRPr="0050527B">
        <w:rPr>
          <w:rFonts w:ascii="Arial" w:eastAsia="Times New Roman" w:hAnsi="Arial"/>
          <w:b/>
          <w:bCs/>
          <w:color w:val="auto"/>
          <w:sz w:val="20"/>
          <w:szCs w:val="20"/>
          <w:u w:val="single"/>
        </w:rPr>
        <w:t>ESEA/No Child Left Behind (NCLB)</w:t>
      </w:r>
      <w:r w:rsidRPr="0050527B">
        <w:rPr>
          <w:rFonts w:ascii="Times" w:eastAsia="Times New Roman" w:hAnsi="Times" w:cs="Times New Roman"/>
          <w:color w:val="auto"/>
          <w:sz w:val="20"/>
          <w:szCs w:val="20"/>
        </w:rPr>
        <w:br/>
      </w:r>
      <w:r w:rsidRPr="0050527B">
        <w:rPr>
          <w:rFonts w:ascii="Arial" w:eastAsia="Times New Roman" w:hAnsi="Arial"/>
          <w:color w:val="auto"/>
          <w:sz w:val="20"/>
          <w:szCs w:val="20"/>
        </w:rPr>
        <w:t> </w:t>
      </w:r>
      <w:r w:rsidRPr="0050527B">
        <w:rPr>
          <w:rFonts w:ascii="Arial" w:eastAsia="Times New Roman" w:hAnsi="Arial"/>
          <w:color w:val="auto"/>
          <w:sz w:val="20"/>
          <w:szCs w:val="20"/>
        </w:rPr>
        <w:br/>
        <w:t xml:space="preserve">Today the House passed H.R. 5, the Student Success Act </w:t>
      </w:r>
      <w:proofErr w:type="gramStart"/>
      <w:r w:rsidRPr="0050527B">
        <w:rPr>
          <w:rFonts w:ascii="Arial" w:eastAsia="Times New Roman" w:hAnsi="Arial"/>
          <w:color w:val="auto"/>
          <w:sz w:val="20"/>
          <w:szCs w:val="20"/>
        </w:rPr>
        <w:t>which</w:t>
      </w:r>
      <w:proofErr w:type="gramEnd"/>
      <w:r w:rsidRPr="0050527B">
        <w:rPr>
          <w:rFonts w:ascii="Arial" w:eastAsia="Times New Roman" w:hAnsi="Arial"/>
          <w:color w:val="auto"/>
          <w:sz w:val="20"/>
          <w:szCs w:val="20"/>
        </w:rPr>
        <w:t xml:space="preserve"> would reauthorize ESEA. It passed on a mostly party-line vote of 221-207. This bill essentially rolls back many elements of the original NCLB. It would end Adequate Yearly Progress, thus letting the states set their own goals. The Department of Education would be prohibited from encouraging states to commit to the Common Core standards. It would also end requirements that states preserve their own spending levels on education to receive federal dollars.</w:t>
      </w:r>
      <w:r w:rsidRPr="0050527B">
        <w:rPr>
          <w:rFonts w:ascii="Arial" w:eastAsia="Times New Roman" w:hAnsi="Arial"/>
          <w:color w:val="auto"/>
          <w:sz w:val="20"/>
          <w:szCs w:val="20"/>
        </w:rPr>
        <w:br/>
        <w:t> </w:t>
      </w:r>
      <w:r w:rsidRPr="0050527B">
        <w:rPr>
          <w:rFonts w:ascii="Arial" w:eastAsia="Times New Roman" w:hAnsi="Arial"/>
          <w:color w:val="auto"/>
          <w:sz w:val="20"/>
          <w:szCs w:val="20"/>
        </w:rPr>
        <w:br/>
        <w:t>While both the House and the Senate have passed versions of ESEA this year, it is not expected that a final bill will reach the President’s desk. Conferees would need to be appointed to resolve differences between the Senate and House bills. This has not happened for any major piece of legislation this year.</w:t>
      </w:r>
      <w:r w:rsidRPr="0050527B">
        <w:rPr>
          <w:rFonts w:ascii="Arial" w:eastAsia="Times New Roman" w:hAnsi="Arial"/>
          <w:color w:val="auto"/>
          <w:sz w:val="20"/>
          <w:szCs w:val="20"/>
        </w:rPr>
        <w:br/>
        <w:t> </w:t>
      </w:r>
    </w:p>
    <w:p w14:paraId="6D8B374B" w14:textId="77777777" w:rsidR="003F44E5" w:rsidRDefault="003F44E5" w:rsidP="003F44E5">
      <w:pPr>
        <w:rPr>
          <w:rFonts w:ascii="Arial" w:eastAsia="Times New Roman" w:hAnsi="Arial"/>
          <w:color w:val="auto"/>
          <w:sz w:val="20"/>
          <w:szCs w:val="20"/>
        </w:rPr>
      </w:pPr>
    </w:p>
    <w:p w14:paraId="10D53B39" w14:textId="77777777" w:rsidR="003F44E5" w:rsidRDefault="003F44E5" w:rsidP="003F44E5">
      <w:pPr>
        <w:rPr>
          <w:rFonts w:ascii="Arial" w:eastAsia="Times New Roman" w:hAnsi="Arial"/>
          <w:color w:val="auto"/>
          <w:sz w:val="20"/>
          <w:szCs w:val="20"/>
        </w:rPr>
      </w:pPr>
    </w:p>
    <w:p w14:paraId="5F4DC0AA" w14:textId="77777777" w:rsidR="003F44E5" w:rsidRDefault="003F44E5" w:rsidP="003F44E5">
      <w:pPr>
        <w:jc w:val="center"/>
      </w:pPr>
      <w:r w:rsidRPr="0050527B">
        <w:rPr>
          <w:rFonts w:ascii="Arial" w:eastAsia="Times New Roman" w:hAnsi="Arial"/>
          <w:color w:val="auto"/>
          <w:sz w:val="20"/>
          <w:szCs w:val="20"/>
        </w:rPr>
        <w:br/>
      </w:r>
      <w:proofErr w:type="gramStart"/>
      <w:r w:rsidRPr="0050527B">
        <w:rPr>
          <w:rFonts w:ascii="Times" w:hAnsi="Times" w:cs="Times New Roman"/>
          <w:color w:val="auto"/>
          <w:sz w:val="20"/>
          <w:szCs w:val="20"/>
        </w:rPr>
        <w:t>American Association of State Colleges and Universities.</w:t>
      </w:r>
      <w:proofErr w:type="gramEnd"/>
      <w:r w:rsidRPr="0050527B">
        <w:rPr>
          <w:rFonts w:ascii="Times" w:hAnsi="Times" w:cs="Times New Roman"/>
          <w:color w:val="auto"/>
          <w:sz w:val="20"/>
          <w:szCs w:val="20"/>
        </w:rPr>
        <w:br/>
        <w:t>5th Floor 1307 New York Avenue, N.W. Washington, D.C. 20005</w:t>
      </w:r>
      <w:r w:rsidRPr="0050527B">
        <w:rPr>
          <w:rFonts w:ascii="Times" w:hAnsi="Times" w:cs="Times New Roman"/>
          <w:color w:val="auto"/>
          <w:sz w:val="20"/>
          <w:szCs w:val="20"/>
        </w:rPr>
        <w:br/>
        <w:t xml:space="preserve">Phone 202-293-7070 | Fax 202-296-5819 | </w:t>
      </w:r>
      <w:r w:rsidRPr="0050527B">
        <w:rPr>
          <w:rFonts w:ascii="Times" w:hAnsi="Times" w:cs="Times New Roman"/>
          <w:color w:val="auto"/>
          <w:sz w:val="20"/>
          <w:szCs w:val="20"/>
        </w:rPr>
        <w:fldChar w:fldCharType="begin"/>
      </w:r>
      <w:r w:rsidRPr="0050527B">
        <w:rPr>
          <w:rFonts w:ascii="Times" w:hAnsi="Times" w:cs="Times New Roman"/>
          <w:color w:val="auto"/>
          <w:sz w:val="20"/>
          <w:szCs w:val="20"/>
        </w:rPr>
        <w:instrText xml:space="preserve"> HYPERLINK "http://www.aascu.org" \t "_blank" </w:instrText>
      </w:r>
      <w:r w:rsidRPr="0050527B">
        <w:rPr>
          <w:rFonts w:ascii="Times" w:hAnsi="Times" w:cs="Times New Roman"/>
          <w:color w:val="auto"/>
          <w:sz w:val="20"/>
          <w:szCs w:val="20"/>
        </w:rPr>
      </w:r>
      <w:r w:rsidRPr="0050527B">
        <w:rPr>
          <w:rFonts w:ascii="Times" w:hAnsi="Times" w:cs="Times New Roman"/>
          <w:color w:val="auto"/>
          <w:sz w:val="20"/>
          <w:szCs w:val="20"/>
        </w:rPr>
        <w:fldChar w:fldCharType="separate"/>
      </w:r>
      <w:r w:rsidRPr="0050527B">
        <w:rPr>
          <w:rFonts w:ascii="Times" w:hAnsi="Times" w:cs="Times New Roman"/>
          <w:color w:val="0000FF"/>
          <w:sz w:val="20"/>
          <w:szCs w:val="20"/>
          <w:u w:val="single"/>
        </w:rPr>
        <w:t>www.aascu.org</w:t>
      </w:r>
      <w:r w:rsidRPr="0050527B">
        <w:rPr>
          <w:rFonts w:ascii="Times" w:hAnsi="Times" w:cs="Times New Roman"/>
          <w:color w:val="auto"/>
          <w:sz w:val="20"/>
          <w:szCs w:val="20"/>
        </w:rPr>
        <w:fldChar w:fldCharType="end"/>
      </w:r>
    </w:p>
    <w:sectPr w:rsidR="003F44E5" w:rsidSect="003F44E5">
      <w:pgSz w:w="15840" w:h="12240" w:orient="landscape"/>
      <w:pgMar w:top="288"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1FEF"/>
    <w:multiLevelType w:val="multilevel"/>
    <w:tmpl w:val="B5F0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E5"/>
    <w:rsid w:val="002B35CC"/>
    <w:rsid w:val="003F44E5"/>
    <w:rsid w:val="00934F68"/>
    <w:rsid w:val="00B03FE5"/>
    <w:rsid w:val="00D04DB4"/>
    <w:rsid w:val="00FC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75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4194</Characters>
  <Application>Microsoft Macintosh Word</Application>
  <DocSecurity>0</DocSecurity>
  <Lines>34</Lines>
  <Paragraphs>9</Paragraphs>
  <ScaleCrop>false</ScaleCrop>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2</cp:revision>
  <dcterms:created xsi:type="dcterms:W3CDTF">2013-07-29T14:46:00Z</dcterms:created>
  <dcterms:modified xsi:type="dcterms:W3CDTF">2013-07-29T14:56:00Z</dcterms:modified>
</cp:coreProperties>
</file>